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autoSpaceDE/>
        <w:autoSpaceDN/>
        <w:bidi w:val="off"/>
        <w:kinsoku/>
        <w:kinsoku/>
        <w:overflowPunct/>
        <w:wordWrap/>
        <w:framePr w:outlineLvl="9"/>
        <w:ind w:leftChars="0" w:rightChars="0" w:left="0" w:right="0"/>
        <w:spacing w:line="680" w:lineRule="exact"/>
        <w:jc w:val="center"/>
      </w:pP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t xml:space="preserve">6中建三局西北公司</w:t>
      </w: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t xml:space="preserve">2020届高校毕业生</w:t>
      </w: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autoSpaceDE/>
        <w:autoSpaceDN/>
        <w:bidi w:val="off"/>
        <w:kinsoku/>
        <w:kinsoku/>
        <w:overflowPunct/>
        <w:wordWrap/>
        <w:framePr w:outlineLvl="9"/>
        <w:ind w:leftChars="0" w:rightChars="0" w:left="0" w:right="0"/>
        <w:spacing w:line="680" w:lineRule="exact"/>
        <w:jc w:val="center"/>
      </w:pP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t xml:space="preserve">招聘简章</w:t>
      </w: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仿宋_GB2312" w:eastAsia="仿宋_GB2312"/>
        </w:rPr>
        <w:bidi w:val="off"/>
        <w:kinsoku/>
        <w:kinsoku/>
        <w:overflowPunct/>
        <w:wordWrap/>
        <w:snapToGrid w:val="0"/>
        <w:framePr w:outlineLvl="9"/>
        <w:ind w:leftChars="0" w:rightChars="0" w:firstLine="883" w:left="0" w:firstLineChars="200" w:right="0"/>
        <w:spacing w:line="578" w:lineRule="exact"/>
        <w:jc w:val="both"/>
      </w:pP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仿宋_GB2312" w:eastAsia="仿宋_GB2312"/>
        </w:rPr>
      </w:r>
    </w:p>
    <w:p>
      <w:pPr>
        <w:pStyle w:val="Normal"/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bidi w:val="off"/>
        <w:kinsoku/>
        <w:kinsoku/>
        <w:overflowPunct/>
        <w:wordWrap/>
        <w:snapToGrid w:val="0"/>
        <w:framePr w:outlineLvl="9"/>
        <w:ind w:leftChars="0" w:rightChars="0" w:firstLine="643" w:left="0" w:firstLineChars="200" w:right="0"/>
        <w:spacing w:line="578" w:lineRule="exact"/>
        <w:jc w:val="both"/>
      </w:pP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 </w:t>
      </w: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一、公司简介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中建三局西北公司（以下简称“公司”）是中建三局集团有限公司直属区域公司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。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中建三局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是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世界500强第21位中国建筑旗下排头兵，达到世界500强第345位标准，中国500强第40位标准，ENR全球承包商250强第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9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位、ENR国际承包商250强第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56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位标准，蝉联中国建筑业竞争力两百强企业榜首。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中建三局西北公司位居中建三局区域公司排头兵，主要经营投融资、高端房建、基础设施等业务，下设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第一经理部、第二经理部、新疆经理部、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第三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经理部、兰州经理部、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基础设施事业部、西宁经理部及投资事业部，覆盖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陕西、甘肃、宁夏、青海、新疆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内蒙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、山西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等地区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。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2018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年合同额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约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270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亿元，营业收入超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120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亿元。</w:t>
      </w:r>
    </w:p>
    <w:p>
      <w:pPr>
        <w:pStyle w:val="Normal"/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bidi w:val="off"/>
        <w:kinsoku/>
        <w:kinsoku/>
        <w:overflowPunct/>
        <w:wordWrap/>
        <w:snapToGrid w:val="0"/>
        <w:framePr w:outlineLvl="9"/>
        <w:ind w:leftChars="0" w:rightChars="0" w:firstLine="643" w:left="0" w:firstLineChars="200" w:right="0"/>
        <w:spacing w:line="578" w:lineRule="exact"/>
        <w:jc w:val="both"/>
      </w:pP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二、企业画像</w:t>
      </w:r>
    </w:p>
    <w:p>
      <w:pPr>
        <w:pStyle w:val="Normal"/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3" w:firstLineChars="200"/>
        <w:spacing w:line="578" w:lineRule="exact"/>
        <w:jc w:val="both"/>
      </w:pP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1.</w:t>
      </w: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丝路劲旅 </w:t>
      </w: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舍我其谁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0" w:firstLineChars="20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十年来，公司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2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评全国工人先锋号，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6捧鲁班小金人，9获国家优质工程奖，120余次取得国家级专利、编制省部级工法；拥有一级建造师、注册造价师250余人，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注册安全工程师42人。综合实力，蝉联中建系统西北五省规模第一，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位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居工程局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区域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公司首位。</w:t>
      </w:r>
    </w:p>
    <w:p>
      <w:pPr>
        <w:pStyle w:val="Normal"/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3" w:firstLineChars="200"/>
        <w:spacing w:line="578" w:lineRule="exact"/>
        <w:jc w:val="both"/>
      </w:pP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2.</w:t>
      </w: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转型升级 </w:t>
      </w: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敢为人先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0" w:firstLineChars="20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局内区域公司中率先成立基础设施事业部、投资事业部，拥有基础设施、投融资业务双授权。海外业务方面，我们勇于担当，敢于尝试，正大力拓展柬埔寨等周边市场。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在建的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西安市幸福林带建设工程PPP项目为全球最大地下空间综合体。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 </w:t>
      </w:r>
    </w:p>
    <w:p>
      <w:pPr>
        <w:pStyle w:val="Normal"/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3" w:firstLineChars="200"/>
        <w:spacing w:line="578" w:lineRule="exact"/>
        <w:jc w:val="both"/>
      </w:pP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3.</w:t>
      </w: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西北美食</w:t>
      </w: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 嘹</w:t>
      </w: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咋咧</w:t>
      </w:r>
    </w:p>
    <w:p>
      <w:pPr>
        <w:pStyle w:val="Normal"/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autoSpaceDE/>
        <w:autoSpaceDN/>
        <w:bidi w:val="off"/>
        <w:kinsoku/>
        <w:kinsoku/>
        <w:overflowPunct/>
        <w:wordWrap/>
        <w:ind w:firstLine="640" w:firstLineChars="20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陕西美食，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嘹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咋咧！牛羊肉泡馍、肉夹馍、凉皮、灌汤包；甘肃美食，相当嬲！兰州拉面、灰豆子、热冬果、手抓羊肉；新疆美食，雅克西！大盘鸡、羊肉串、烤全羊；亲们，你还能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HOLD住吗？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snapToGrid w:val="0"/>
        <w:framePr w:outlineLvl="9"/>
        <w:ind w:leftChars="0" w:rightChars="0" w:firstLine="643" w:left="0" w:firstLineChars="200" w:right="0"/>
        <w:spacing w:line="578" w:lineRule="exact"/>
        <w:jc w:val="both"/>
      </w:pP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三、人才培养概况</w:t>
      </w:r>
    </w:p>
    <w:p>
      <w:pPr>
        <w:pStyle w:val="HtmlPre"/>
        <w:rPr>
          <w:rStyle w:val="NormalCharacter"/>
          <w:szCs w:val="32"/>
          <w:sz w:val="32"/>
          <w:kern w:val="0"/>
          <w:lang w:val="en-US" w:eastAsia="zh-CN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tabs>
          <w:tab w:leader="none" w:val="left" w:pos="916"/>
          <w:tab w:leader="none" w:val="left" w:pos="1832"/>
          <w:tab w:leader="none" w:val="left" w:pos="2748"/>
          <w:tab w:leader="none" w:val="left" w:pos="3664"/>
          <w:tab w:leader="none" w:val="left" w:pos="4580"/>
          <w:tab w:leader="none" w:val="left" w:pos="5496"/>
          <w:tab w:leader="none" w:val="left" w:pos="6412"/>
          <w:tab w:leader="none" w:val="left" w:pos="7328"/>
          <w:tab w:leader="none" w:val="left" w:pos="8244"/>
          <w:tab w:leader="none" w:val="left" w:pos="9160"/>
          <w:tab w:leader="none" w:val="left" w:pos="10076"/>
          <w:tab w:leader="none" w:val="left" w:pos="10992"/>
          <w:tab w:leader="none" w:val="left" w:pos="11908"/>
          <w:tab w:leader="none" w:val="left" w:pos="12824"/>
          <w:tab w:leader="none" w:val="left" w:pos="13740"/>
          <w:tab w:leader="none" w:val="left" w:pos="14656"/>
        </w:tabs>
        <w:framePr w:outlineLvl="9"/>
        <w:ind w:leftChars="0" w:rightChars="0" w:firstLine="640" w:left="0" w:firstLineChars="200" w:right="0"/>
        <w:spacing w:line="560" w:after="0" w:before="0" w:lineRule="exact"/>
        <w:jc w:val="both"/>
        <w:pBdr>
          <w:top w:space="0" w:color="000000" w:val="none" w:sz="0"/>
          <w:left w:space="0" w:color="000000" w:val="none" w:sz="0"/>
          <w:bottom w:space="0" w:color="000000" w:val="none" w:sz="0"/>
          <w:right w:space="0" w:color="000000" w:val="none" w:sz="0"/>
        </w:pBdr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公司员工平均年龄31岁，干事创业劲头充足，企业内部构建有</w:t>
      </w:r>
      <w:r>
        <w:rPr>
          <w:rStyle w:val="NormalCharacter"/>
          <w:szCs w:val="32"/>
          <w:sz w:val="32"/>
          <w:kern w:val="0"/>
          <w:lang w:val="en-US" w:eastAsia="zh-CN"/>
          <w:rFonts w:ascii="仿宋_GB2312" w:eastAsia="仿宋_GB2312" w:hAnsi="仿宋_GB2312"/>
          <w:color w:val="000000"/>
        </w:rPr>
        <w:t xml:space="preserve">“5+3”</w:t>
      </w:r>
      <w:r>
        <w:rPr>
          <w:rStyle w:val="NormalCharacter"/>
          <w:szCs w:val="32"/>
          <w:sz w:val="32"/>
          <w:kern w:val="0"/>
          <w:lang w:val="en-US" w:eastAsia="zh-CN"/>
          <w:rFonts w:ascii="仿宋_GB2312" w:eastAsia="仿宋_GB2312" w:hAnsi="仿宋_GB2312"/>
          <w:color w:val="000000"/>
        </w:rPr>
        <w:t xml:space="preserve">人才培养体系（</w:t>
      </w:r>
      <w:r>
        <w:rPr>
          <w:rStyle w:val="NormalCharacter"/>
          <w:szCs w:val="32"/>
          <w:sz w:val="32"/>
          <w:kern w:val="0"/>
          <w:lang w:val="en-US" w:eastAsia="zh-CN"/>
          <w:rFonts w:ascii="仿宋_GB2312" w:eastAsia="仿宋_GB2312" w:hAnsi="仿宋_GB2312"/>
          <w:color w:val="000000"/>
        </w:rPr>
        <w:t xml:space="preserve">即</w:t>
      </w:r>
      <w:r>
        <w:rPr>
          <w:rStyle w:val="NormalCharacter"/>
          <w:szCs w:val="32"/>
          <w:sz w:val="32"/>
          <w:kern w:val="0"/>
          <w:lang w:val="en-US" w:eastAsia="zh-CN"/>
          <w:rFonts w:ascii="仿宋_GB2312" w:eastAsia="仿宋_GB2312" w:hAnsi="仿宋_GB2312"/>
          <w:color w:val="000000"/>
        </w:rPr>
        <w:t xml:space="preserve">“</w:t>
      </w:r>
      <w:r>
        <w:rPr>
          <w:rStyle w:val="NormalCharacter"/>
          <w:szCs w:val="32"/>
          <w:sz w:val="32"/>
          <w:kern w:val="0"/>
          <w:lang w:val="en-US" w:eastAsia="zh-CN"/>
          <w:rFonts w:ascii="仿宋_GB2312" w:eastAsia="仿宋_GB2312" w:hAnsi="仿宋_GB2312"/>
          <w:color w:val="000000"/>
        </w:rPr>
        <w:t xml:space="preserve">五个能力提升工程</w:t>
      </w:r>
      <w:r>
        <w:rPr>
          <w:rStyle w:val="NormalCharacter"/>
          <w:szCs w:val="32"/>
          <w:sz w:val="32"/>
          <w:kern w:val="0"/>
          <w:lang w:val="en-US" w:eastAsia="zh-CN"/>
          <w:rFonts w:ascii="仿宋_GB2312" w:eastAsia="仿宋_GB2312" w:hAnsi="仿宋_GB2312"/>
          <w:color w:val="000000"/>
        </w:rPr>
        <w:t xml:space="preserve">”、“</w:t>
      </w:r>
      <w:r>
        <w:rPr>
          <w:rStyle w:val="NormalCharacter"/>
          <w:szCs w:val="32"/>
          <w:sz w:val="32"/>
          <w:kern w:val="0"/>
          <w:lang w:val="en-US" w:eastAsia="zh-CN"/>
          <w:rFonts w:ascii="仿宋_GB2312" w:eastAsia="仿宋_GB2312" w:hAnsi="仿宋_GB2312"/>
          <w:color w:val="000000"/>
        </w:rPr>
        <w:t xml:space="preserve">星青年</w:t>
      </w:r>
      <w:r>
        <w:rPr>
          <w:rStyle w:val="NormalCharacter"/>
          <w:szCs w:val="32"/>
          <w:sz w:val="32"/>
          <w:kern w:val="0"/>
          <w:lang w:val="en-US" w:eastAsia="zh-CN"/>
          <w:rFonts w:ascii="仿宋_GB2312" w:eastAsia="仿宋_GB2312" w:hAnsi="仿宋_GB2312"/>
          <w:color w:val="000000"/>
        </w:rPr>
        <w:t xml:space="preserve">”</w:t>
      </w:r>
      <w:r>
        <w:rPr>
          <w:rStyle w:val="NormalCharacter"/>
          <w:szCs w:val="32"/>
          <w:sz w:val="32"/>
          <w:kern w:val="0"/>
          <w:lang w:val="en-US" w:eastAsia="zh-CN"/>
          <w:rFonts w:ascii="仿宋_GB2312" w:eastAsia="仿宋_GB2312" w:hAnsi="仿宋_GB2312"/>
          <w:color w:val="000000"/>
        </w:rPr>
        <w:t xml:space="preserve">计划、基础能力提升培训、取证能力培训</w:t>
      </w:r>
      <w:r>
        <w:rPr>
          <w:rStyle w:val="NormalCharacter"/>
          <w:szCs w:val="32"/>
          <w:sz w:val="32"/>
          <w:kern w:val="0"/>
          <w:lang w:val="en-US" w:eastAsia="zh-CN"/>
          <w:rFonts w:ascii="仿宋_GB2312" w:eastAsia="仿宋_GB2312" w:hAnsi="仿宋_GB2312"/>
          <w:color w:val="000000"/>
        </w:rPr>
        <w:t xml:space="preserve">），从新员工入职到青年骨干，再到业务领头人，最后到行业领军人，覆盖员工全岗位周期。</w:t>
      </w:r>
    </w:p>
    <w:p>
      <w:pPr>
        <w:pStyle w:val="HtmlPre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tabs>
          <w:tab w:leader="none" w:val="left" w:pos="916"/>
          <w:tab w:leader="none" w:val="left" w:pos="1832"/>
          <w:tab w:leader="none" w:val="left" w:pos="2748"/>
          <w:tab w:leader="none" w:val="left" w:pos="3664"/>
          <w:tab w:leader="none" w:val="left" w:pos="4580"/>
          <w:tab w:leader="none" w:val="left" w:pos="5496"/>
          <w:tab w:leader="none" w:val="left" w:pos="6412"/>
          <w:tab w:leader="none" w:val="left" w:pos="7328"/>
          <w:tab w:leader="none" w:val="left" w:pos="8244"/>
          <w:tab w:leader="none" w:val="left" w:pos="9160"/>
          <w:tab w:leader="none" w:val="left" w:pos="10076"/>
          <w:tab w:leader="none" w:val="left" w:pos="10992"/>
          <w:tab w:leader="none" w:val="left" w:pos="11908"/>
          <w:tab w:leader="none" w:val="left" w:pos="12824"/>
          <w:tab w:leader="none" w:val="left" w:pos="13740"/>
          <w:tab w:leader="none" w:val="left" w:pos="14656"/>
        </w:tabs>
        <w:framePr w:outlineLvl="9"/>
        <w:ind w:leftChars="0" w:rightChars="0" w:firstLine="640" w:left="0" w:firstLineChars="200" w:right="0"/>
        <w:spacing w:line="560" w:after="0" w:before="0" w:lineRule="exact"/>
        <w:jc w:val="both"/>
        <w:pBdr>
          <w:top w:space="0" w:color="000000" w:val="none" w:sz="0"/>
          <w:left w:space="0" w:color="000000" w:val="none" w:sz="0"/>
          <w:bottom w:space="0" w:color="000000" w:val="none" w:sz="0"/>
          <w:right w:space="0" w:color="000000" w:val="none" w:sz="0"/>
        </w:pBdr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青年员工培养方面，公司积累有大量成熟的工具、机制，如：岗前培训、“双导师”带徒、“星青年”锤炼营、领导力培训班等，通过压担子、架梯子加速推进员工成长、成才。同时，公司大胆任用青年骨干，常态化组织开展公开竞聘，建立后备人才梯队，入职员工在3-5年基本走上项目、分公司中层，5年以内有车有房。</w:t>
      </w:r>
    </w:p>
    <w:p>
      <w:pPr>
        <w:pStyle w:val="Normal"/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bidi w:val="off"/>
        <w:kinsoku/>
        <w:kinsoku/>
        <w:overflowPunct/>
        <w:wordWrap/>
        <w:snapToGrid w:val="0"/>
        <w:framePr w:outlineLvl="9"/>
        <w:ind w:leftChars="0" w:rightChars="0" w:firstLine="643" w:left="0" w:firstLineChars="200" w:right="0"/>
        <w:spacing w:line="578" w:lineRule="exact"/>
        <w:jc w:val="both"/>
      </w:pP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四、薪酬福利体系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1.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基本工资：岗位工资+能级津贴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2.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奖金：年终奖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产值奖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科技创效奖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商务创效奖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项目兑现奖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总经理特别奖及其他各类奖金。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3.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福利：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六险二金（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五险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一金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补充医疗保险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企业年金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）、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过节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费、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生日慰问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带薪休假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、免费体检及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其他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各类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福利等。</w:t>
      </w:r>
    </w:p>
    <w:p>
      <w:pPr>
        <w:pStyle w:val="Normal"/>
        <w:rPr>
          <w:rStyle w:val="NormalCharacter"/>
          <w:b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4.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津贴：远征津贴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年功津贴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执业津贴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住房津贴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交通补贴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伙食补贴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、取暖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津贴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防暑津贴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及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其他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各类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津贴等。</w:t>
      </w:r>
    </w:p>
    <w:p>
      <w:pPr>
        <w:pStyle w:val="Normal"/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bidi w:val="off"/>
        <w:kinsoku/>
        <w:kinsoku/>
        <w:overflowPunct/>
        <w:wordWrap/>
        <w:snapToGrid w:val="0"/>
        <w:framePr w:outlineLvl="9"/>
        <w:ind w:leftChars="0" w:rightChars="0" w:firstLine="643" w:left="0" w:firstLineChars="200" w:right="0"/>
        <w:spacing w:line="578" w:lineRule="exact"/>
        <w:jc w:val="both"/>
      </w:pP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五、招聘专业</w:t>
      </w:r>
    </w:p>
    <w:p>
      <w:pPr>
        <w:pStyle w:val="Normal"/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bidi w:val="off"/>
        <w:kinsoku/>
        <w:kinsoku/>
        <w:overflowPunct/>
        <w:wordWrap/>
        <w:snapToGrid w:val="0"/>
        <w:framePr w:outlineLvl="9"/>
        <w:ind w:leftChars="0" w:rightChars="0" w:firstLine="643" w:left="0" w:firstLineChars="200" w:right="0"/>
        <w:spacing w:line="578" w:lineRule="exact"/>
        <w:jc w:val="both"/>
      </w:pP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1.</w:t>
      </w: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工程类：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路桥工程、水利工程、城市地下空间、水务工程、土木工程、工程管理/工程造价、测绘工程、安全工程、机械设备管理、材料科学与工程、工程力学等；</w:t>
      </w:r>
    </w:p>
    <w:p>
      <w:pPr>
        <w:pStyle w:val="Normal"/>
        <w:rPr>
          <w:rStyle w:val="NormalCharacter"/>
          <w:b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snapToGrid w:val="0"/>
        <w:framePr w:outlineLvl="9"/>
        <w:ind w:rightChars="0" w:firstLine="643" w:firstLineChars="200" w:right="0"/>
        <w:spacing w:line="578" w:lineRule="exact"/>
        <w:jc w:val="both"/>
      </w:pP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2.职能类：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人力资源管理、财务管理、会计学、金融学/投资学、汉语言文学、新闻学、法学、审计学、马克思主义理论相关专业等。</w:t>
      </w:r>
    </w:p>
    <w:p>
      <w:pPr>
        <w:pStyle w:val="Normal"/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bidi w:val="off"/>
        <w:kinsoku/>
        <w:kinsoku/>
        <w:overflowPunct/>
        <w:wordWrap/>
        <w:snapToGrid w:val="0"/>
        <w:framePr w:outlineLvl="9"/>
        <w:ind w:leftChars="0" w:rightChars="0" w:firstLine="643" w:left="0" w:firstLineChars="200" w:right="0"/>
        <w:spacing w:line="578" w:lineRule="exact"/>
        <w:jc w:val="both"/>
      </w:pP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六、招聘要求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1.学历：应届统招全日制大学本科及以上学历。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2.院校：国家重点院校、传统建筑强校、全球知名院校。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3.学生素质要求：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（1）身体健康，谈吐文明，形象气质佳；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（2）在校期间学习成绩良好且所学专业排名前40%，专业课程无补考；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（3）本科生英语四级以上、研究生英语六级以上水平，英语专业毕业生须通过国家英语专业八级考试；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（4）有较强的语言表达能力和人际关系处理能力，较好的学习能力和实践能力；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（5）有较高的诚信度和责任感，较好的团队合作精神；自律性强、能吃苦耐劳，乐观、积极向上，无心理障碍。党员与学生干部优先。</w:t>
      </w:r>
    </w:p>
    <w:p>
      <w:pPr>
        <w:pStyle w:val="Normal"/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bidi w:val="off"/>
        <w:kinsoku/>
        <w:kinsoku/>
        <w:overflowPunct/>
        <w:wordWrap/>
        <w:snapToGrid w:val="0"/>
        <w:framePr w:outlineLvl="9"/>
        <w:ind w:leftChars="0" w:rightChars="0" w:firstLine="643" w:left="0" w:firstLineChars="200" w:right="0"/>
        <w:spacing w:line="578" w:lineRule="exact"/>
        <w:jc w:val="both"/>
      </w:pP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七、招聘程序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autoSpaceDE/>
        <w:autoSpaceDN/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1.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学生登陆中国建筑高校毕业生接收考试网（网址：http://cscec.pincn.com/#/prove）注册,完成第一部分测评。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autoSpaceDE/>
        <w:autoSpaceDN/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2.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学生登陆中建三局集团有限公司校园招聘网，投递简历至西北公司。（网址：http://zhaopin.cscec3b.com.cn）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autoSpaceDE/>
        <w:autoSpaceDN/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3.学生登陆中国建筑高校毕业生接收考试网完成第二部分测评。（2019.08.28至2019.11.07共12期，必须参加）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autoSpaceDE/>
        <w:autoSpaceDN/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测评时间：</w:t>
      </w:r>
    </w:p>
    <w:tbl>
      <w:tblPr>
        <w:tblW w:type="dxa" w:w="8626"/>
        <w:jc w:val="center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812"/>
        <w:gridCol w:w="2794"/>
        <w:gridCol w:w="4020"/>
      </w:tblGrid>
      <w:tr>
        <w:tc>
          <w:tcPr>
            <w:textDirection w:val="lrTb"/>
            <w:vAlign w:val="top"/>
            <w:tcW w:type="dxa" w:w="18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32"/>
                <w:sz w:val="32"/>
                <w:kern w:val="2"/>
                <w:lang w:val="en-US" w:eastAsia="zh-CN" w:bidi="ar-SA"/>
                <w:rFonts w:ascii="仿宋_GB2312" w:cs="Times New Roman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b/>
                <w:bCs/>
                <w:szCs w:val="32"/>
                <w:sz w:val="32"/>
                <w:kern w:val="2"/>
                <w:lang w:val="en-US" w:eastAsia="zh-CN" w:bidi="ar-SA"/>
                <w:rFonts w:ascii="仿宋_GB2312" w:cs="Times New Roman" w:eastAsia="仿宋_GB2312"/>
              </w:rPr>
              <w:t xml:space="preserve">期次</w:t>
            </w:r>
          </w:p>
        </w:tc>
        <w:tc>
          <w:tcPr>
            <w:textDirection w:val="lrTb"/>
            <w:vAlign w:val="top"/>
            <w:tcW w:type="dxa" w:w="27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32"/>
                <w:sz w:val="32"/>
                <w:kern w:val="2"/>
                <w:lang w:val="en-US" w:eastAsia="zh-CN" w:bidi="ar-SA"/>
                <w:rFonts w:ascii="仿宋_GB2312" w:cs="Times New Roman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b/>
                <w:bCs/>
                <w:szCs w:val="32"/>
                <w:sz w:val="32"/>
                <w:kern w:val="2"/>
                <w:lang w:val="en-US" w:eastAsia="zh-CN" w:bidi="ar-SA"/>
                <w:rFonts w:ascii="仿宋_GB2312" w:cs="Times New Roman" w:eastAsia="仿宋_GB2312"/>
              </w:rPr>
              <w:t xml:space="preserve">一测完成时间</w:t>
            </w:r>
          </w:p>
        </w:tc>
        <w:tc>
          <w:tcPr>
            <w:textDirection w:val="lrTb"/>
            <w:vAlign w:val="top"/>
            <w:tcW w:type="dxa" w:w="4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32"/>
                <w:sz w:val="32"/>
                <w:kern w:val="2"/>
                <w:lang w:val="en-US" w:eastAsia="zh-CN" w:bidi="ar-SA"/>
                <w:rFonts w:ascii="仿宋_GB2312" w:cs="Times New Roman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b/>
                <w:bCs/>
                <w:szCs w:val="32"/>
                <w:sz w:val="32"/>
                <w:kern w:val="2"/>
                <w:lang w:val="en-US" w:eastAsia="zh-CN" w:bidi="ar-SA"/>
                <w:rFonts w:ascii="仿宋_GB2312" w:cs="Times New Roman" w:eastAsia="仿宋_GB2312"/>
              </w:rPr>
              <w:t xml:space="preserve">二测集中考试时间</w:t>
            </w:r>
          </w:p>
        </w:tc>
      </w:tr>
      <w:tr>
        <w:tc>
          <w:tcPr>
            <w:textDirection w:val="lrTb"/>
            <w:vAlign w:val="top"/>
            <w:tcW w:type="dxa" w:w="18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第1期</w:t>
            </w:r>
          </w:p>
        </w:tc>
        <w:tc>
          <w:tcPr>
            <w:textDirection w:val="lrTb"/>
            <w:vAlign w:val="top"/>
            <w:tcW w:type="dxa" w:w="27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2019.08.28</w:t>
            </w:r>
          </w:p>
        </w:tc>
        <w:tc>
          <w:tcPr>
            <w:textDirection w:val="lrTb"/>
            <w:vAlign w:val="top"/>
            <w:tcW w:type="dxa" w:w="4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2019.08.30  19:00-20:30</w:t>
            </w:r>
          </w:p>
        </w:tc>
      </w:tr>
      <w:tr>
        <w:tc>
          <w:tcPr>
            <w:textDirection w:val="lrTb"/>
            <w:vAlign w:val="top"/>
            <w:tcW w:type="dxa" w:w="18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第2期</w:t>
            </w:r>
          </w:p>
        </w:tc>
        <w:tc>
          <w:tcPr>
            <w:textDirection w:val="lrTb"/>
            <w:vAlign w:val="top"/>
            <w:tcW w:type="dxa" w:w="27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2019.08.31</w:t>
            </w:r>
          </w:p>
        </w:tc>
        <w:tc>
          <w:tcPr>
            <w:textDirection w:val="lrTb"/>
            <w:vAlign w:val="top"/>
            <w:tcW w:type="dxa" w:w="4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2019.09.02  19:00-20:30</w:t>
            </w:r>
          </w:p>
        </w:tc>
      </w:tr>
      <w:tr>
        <w:tc>
          <w:tcPr>
            <w:textDirection w:val="lrTb"/>
            <w:vAlign w:val="top"/>
            <w:tcW w:type="dxa" w:w="18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第3期</w:t>
            </w:r>
          </w:p>
        </w:tc>
        <w:tc>
          <w:tcPr>
            <w:textDirection w:val="lrTb"/>
            <w:vAlign w:val="top"/>
            <w:tcW w:type="dxa" w:w="27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2019.09.03</w:t>
            </w:r>
          </w:p>
        </w:tc>
        <w:tc>
          <w:tcPr>
            <w:textDirection w:val="lrTb"/>
            <w:vAlign w:val="top"/>
            <w:tcW w:type="dxa" w:w="4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2019.09.05  19:00-20:30</w:t>
            </w:r>
          </w:p>
        </w:tc>
      </w:tr>
      <w:tr>
        <w:tc>
          <w:tcPr>
            <w:textDirection w:val="lrTb"/>
            <w:vAlign w:val="top"/>
            <w:tcW w:type="dxa" w:w="18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第4期</w:t>
            </w:r>
          </w:p>
        </w:tc>
        <w:tc>
          <w:tcPr>
            <w:textDirection w:val="lrTb"/>
            <w:vAlign w:val="top"/>
            <w:tcW w:type="dxa" w:w="27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2019.09.07</w:t>
            </w:r>
          </w:p>
        </w:tc>
        <w:tc>
          <w:tcPr>
            <w:textDirection w:val="lrTb"/>
            <w:vAlign w:val="top"/>
            <w:tcW w:type="dxa" w:w="4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2019.09.09  19:00-20:30</w:t>
            </w:r>
          </w:p>
        </w:tc>
      </w:tr>
      <w:tr>
        <w:tc>
          <w:tcPr>
            <w:textDirection w:val="lrTb"/>
            <w:vAlign w:val="top"/>
            <w:tcW w:type="dxa" w:w="18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第5期</w:t>
            </w:r>
          </w:p>
        </w:tc>
        <w:tc>
          <w:tcPr>
            <w:textDirection w:val="lrTb"/>
            <w:vAlign w:val="top"/>
            <w:tcW w:type="dxa" w:w="27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2019.09.14</w:t>
            </w:r>
          </w:p>
        </w:tc>
        <w:tc>
          <w:tcPr>
            <w:textDirection w:val="lrTb"/>
            <w:vAlign w:val="top"/>
            <w:tcW w:type="dxa" w:w="4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2019.09.16  19:00-20:30</w:t>
            </w:r>
          </w:p>
        </w:tc>
      </w:tr>
      <w:tr>
        <w:tc>
          <w:tcPr>
            <w:textDirection w:val="lrTb"/>
            <w:vAlign w:val="top"/>
            <w:tcW w:type="dxa" w:w="18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第6期</w:t>
            </w:r>
          </w:p>
        </w:tc>
        <w:tc>
          <w:tcPr>
            <w:textDirection w:val="lrTb"/>
            <w:vAlign w:val="top"/>
            <w:tcW w:type="dxa" w:w="27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2019.09.17</w:t>
            </w:r>
          </w:p>
        </w:tc>
        <w:tc>
          <w:tcPr>
            <w:textDirection w:val="lrTb"/>
            <w:vAlign w:val="top"/>
            <w:tcW w:type="dxa" w:w="4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2019.09.19  19:00-20:30</w:t>
            </w:r>
          </w:p>
        </w:tc>
      </w:tr>
      <w:tr>
        <w:tc>
          <w:tcPr>
            <w:textDirection w:val="lrTb"/>
            <w:vAlign w:val="top"/>
            <w:tcW w:type="dxa" w:w="18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第7期</w:t>
            </w:r>
          </w:p>
        </w:tc>
        <w:tc>
          <w:tcPr>
            <w:textDirection w:val="lrTb"/>
            <w:vAlign w:val="top"/>
            <w:tcW w:type="dxa" w:w="27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2019.10.06</w:t>
            </w:r>
          </w:p>
        </w:tc>
        <w:tc>
          <w:tcPr>
            <w:textDirection w:val="lrTb"/>
            <w:vAlign w:val="top"/>
            <w:tcW w:type="dxa" w:w="4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2019.10.08  19:00-20:30</w:t>
            </w:r>
          </w:p>
        </w:tc>
      </w:tr>
      <w:tr>
        <w:tc>
          <w:tcPr>
            <w:textDirection w:val="lrTb"/>
            <w:vAlign w:val="top"/>
            <w:tcW w:type="dxa" w:w="18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第8期</w:t>
            </w:r>
          </w:p>
        </w:tc>
        <w:tc>
          <w:tcPr>
            <w:textDirection w:val="lrTb"/>
            <w:vAlign w:val="top"/>
            <w:tcW w:type="dxa" w:w="27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2019.10.09</w:t>
            </w:r>
          </w:p>
        </w:tc>
        <w:tc>
          <w:tcPr>
            <w:textDirection w:val="lrTb"/>
            <w:vAlign w:val="top"/>
            <w:tcW w:type="dxa" w:w="4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2019.10.11  19:00-20:30</w:t>
            </w:r>
          </w:p>
        </w:tc>
      </w:tr>
      <w:tr>
        <w:tc>
          <w:tcPr>
            <w:textDirection w:val="lrTb"/>
            <w:vAlign w:val="top"/>
            <w:tcW w:type="dxa" w:w="18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第9期</w:t>
            </w:r>
          </w:p>
        </w:tc>
        <w:tc>
          <w:tcPr>
            <w:textDirection w:val="lrTb"/>
            <w:vAlign w:val="top"/>
            <w:tcW w:type="dxa" w:w="27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2019.10.12</w:t>
            </w:r>
          </w:p>
        </w:tc>
        <w:tc>
          <w:tcPr>
            <w:textDirection w:val="lrTb"/>
            <w:vAlign w:val="top"/>
            <w:tcW w:type="dxa" w:w="4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2019.10.14  19:00-20:30</w:t>
            </w:r>
          </w:p>
        </w:tc>
      </w:tr>
      <w:tr>
        <w:tc>
          <w:tcPr>
            <w:textDirection w:val="lrTb"/>
            <w:vAlign w:val="top"/>
            <w:tcW w:type="dxa" w:w="18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第10期</w:t>
            </w:r>
          </w:p>
        </w:tc>
        <w:tc>
          <w:tcPr>
            <w:textDirection w:val="lrTb"/>
            <w:vAlign w:val="top"/>
            <w:tcW w:type="dxa" w:w="27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2019.10.15</w:t>
            </w:r>
          </w:p>
        </w:tc>
        <w:tc>
          <w:tcPr>
            <w:textDirection w:val="lrTb"/>
            <w:vAlign w:val="top"/>
            <w:tcW w:type="dxa" w:w="4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2019.10.27  19:00-20:30</w:t>
            </w:r>
          </w:p>
        </w:tc>
      </w:tr>
      <w:tr>
        <w:tc>
          <w:tcPr>
            <w:textDirection w:val="lrTb"/>
            <w:vAlign w:val="top"/>
            <w:tcW w:type="dxa" w:w="18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第11期</w:t>
            </w:r>
          </w:p>
        </w:tc>
        <w:tc>
          <w:tcPr>
            <w:textDirection w:val="lrTb"/>
            <w:vAlign w:val="top"/>
            <w:tcW w:type="dxa" w:w="27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2019.10.19</w:t>
            </w:r>
          </w:p>
        </w:tc>
        <w:tc>
          <w:tcPr>
            <w:textDirection w:val="lrTb"/>
            <w:vAlign w:val="top"/>
            <w:tcW w:type="dxa" w:w="4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2019.10.21  19:00-20:30</w:t>
            </w:r>
          </w:p>
        </w:tc>
      </w:tr>
      <w:tr>
        <w:tc>
          <w:tcPr>
            <w:textDirection w:val="lrTb"/>
            <w:vAlign w:val="top"/>
            <w:tcW w:type="dxa" w:w="18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第12期</w:t>
            </w:r>
          </w:p>
        </w:tc>
        <w:tc>
          <w:tcPr>
            <w:textDirection w:val="lrTb"/>
            <w:vAlign w:val="top"/>
            <w:tcW w:type="dxa" w:w="27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2019.11.05</w:t>
            </w:r>
          </w:p>
        </w:tc>
        <w:tc>
          <w:tcPr>
            <w:textDirection w:val="lrTb"/>
            <w:vAlign w:val="top"/>
            <w:tcW w:type="dxa" w:w="4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2019.11.07  19:00-20:30</w:t>
            </w:r>
          </w:p>
        </w:tc>
      </w:tr>
    </w:tbl>
    <w:p>
      <w:pPr>
        <w:pStyle w:val="Normal"/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autoSpaceDE/>
        <w:autoSpaceDN/>
        <w:bidi w:val="off"/>
        <w:kinsoku/>
        <w:kinsoku/>
        <w:overflowPunct/>
        <w:wordWrap/>
        <w:snapToGrid w:val="0"/>
        <w:framePr w:outlineLvl="9"/>
        <w:ind w:rightChars="0" w:firstLine="643" w:firstLineChars="200" w:right="0"/>
        <w:spacing w:line="578" w:lineRule="exact"/>
        <w:jc w:val="both"/>
      </w:pP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八、联系方式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公司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地址：陕西西安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雁塔区锦业路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1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号都市之门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D座1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6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层；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咨询电话：王经理，13892885376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                               2019年9月2日</w:t>
      </w:r>
    </w:p>
    <w:sectPr>
      <w:vAlign w:val="top"/>
      <w:type w:val="nextPage"/>
      <w:pgSz w:h="16838" w:w="11906" w:orient="portrait"/>
      <w:pgMar w:gutter="0" w:header="851" w:top="2098" w:bottom="1984" w:footer="992" w:left="1587" w:right="1474"/>
      <w:lnNumType w:countBy="0"/>
      <w:paperSrc w:first="0" w:other="0"/>
      <w:cols w:space="720" w:num="1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PingFang SC">
    <w:altName w:val="Segoe Print"/>
    <w:charset w:val="00"/>
    <w:family w:val="auto"/>
    <w:panose1 w:val="00000000000000000000"/>
    <w:pitch w:val="default"/>
    <w:sig w:usb0="00000000" w:usb1="00000000" w:usb2="00000000" w:usb3="00000000" w:csb0="00040001" w:csb1="00000000"/>
  </w:font>
  <w:font w:name="Calibri">
    <w:altName w:val="Calibri"/>
    <w:charset w:val="00"/>
    <w:family w:val="swiss"/>
    <w:panose1 w:val="020f0502020204030204"/>
    <w:pitch w:val="default"/>
    <w:sig w:usb0="e00002ff" w:usb1="4000acff" w:usb2="00000001" w:usb3="00000000" w:csb0="2000019f" w:csb1="00000000"/>
  </w:font>
  <w:font w:name="方正小标宋简体">
    <w:altName w:val="方正小标宋简体"/>
    <w:charset w:val="86"/>
    <w:family w:val="auto"/>
    <w:panose1 w:val="03000509000000000000"/>
    <w:pitch w:val="default"/>
    <w:sig w:usb0="00000001" w:usb1="080e0000" w:usb2="00000000" w:usb3="00000000" w:csb0="00040000" w:csb1="00000000"/>
  </w:font>
  <w:font w:name="仿宋_GB2312">
    <w:altName w:val="仿宋_GB2312"/>
    <w:charset w:val="86"/>
    <w:family w:val="modern"/>
    <w:panose1 w:val="02010609030101010101"/>
    <w:pitch w:val="default"/>
    <w:sig w:usb0="00000001" w:usb1="080e0000" w:usb2="00000000" w:usb3="00000000" w:csb0="00040000" w:csb1="00000000"/>
  </w:font>
  <w:font w:name="黑体">
    <w:altName w:val="黑体"/>
    <w:charset w:val="86"/>
    <w:family w:val="auto"/>
    <w:panose1 w:val="02010609060101010101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90"/>
  <w:embedSystemFonts/>
  <w:stylePaneFormatFilter w:val="3f01"/>
  <w:defaultTabStop w:val="420"/>
  <w:displayHorizontalDrawingGridEvery w:val="1"/>
  <w:displayVerticalDrawingGridEvery w:val="1"/>
  <w:doNotUseMarginsForDrawingGridOrigin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  <w:doNotUseEastAsianBreakRules/>
    <w:doNotWrapTextWithPunct/>
    <w:ulTrailSpac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spacing w:line="240" w:lineRule="auto"/>
      <w:jc w:val="both"/>
    </w:pPr>
    <w:rPr>
      <w:szCs w:val="24"/>
      <w:sz w:val="21"/>
      <w:kern w:val="2"/>
      <w:lang w:val="en-US" w:eastAsia="zh-CN" w:bidi="ar-SA"/>
    </w:rPr>
  </w:style>
  <w:style w:type="paragraph" w:styleId="Heading1">
    <w:name w:val="Heading1"/>
    <w:basedOn w:val="Normal"/>
    <w:next w:val="Normal"/>
    <w:link w:val="Normal"/>
    <w:pPr>
      <w:rPr>
        <w:b/>
        <w:szCs w:val="48"/>
        <w:sz w:val="48"/>
        <w:kern w:val="44"/>
        <w:lang w:val="en-US" w:eastAsia="zh-CN"/>
        <w:rFonts w:ascii="宋体" w:eastAsia="宋体" w:hAnsi="宋体"/>
      </w:rPr>
      <w:spacing w:beforeAutospacing="true" w:line="240" w:afterAutospacing="true" w:after="100" w:before="100" w:lineRule="auto"/>
      <w:jc w:val="left"/>
    </w:pPr>
    <w:rPr>
      <w:b/>
      <w:szCs w:val="48"/>
      <w:sz w:val="48"/>
      <w:kern w:val="44"/>
      <w:lang w:val="en-US" w:eastAsia="zh-CN"/>
      <w:rFonts w:ascii="宋体" w:eastAsia="宋体" w:hAnsi="宋体"/>
    </w:rPr>
  </w:style>
  <w:style w:type="character" w:styleId="NormalCharacter">
    <w:name w:val="NormalCharacter"/>
    <w:next w:val="NormalCharacter"/>
    <w:link w:val="Normal"/>
  </w:style>
  <w:style w:type="table" w:styleId="TableNormal">
    <w:name w:val="TableNormal"/>
    <w:next w:val="TableNormal"/>
    <w:link w:val="Normal"/>
    <w:semiHidden/>
  </w:style>
  <w:style w:type="character" w:styleId="Hyperlink">
    <w:name w:val="Hyperlink"/>
    <w:next w:val="Hyperlink"/>
    <w:link w:val="Normal"/>
    <w:rPr>
      <w:u w:val="single"/>
      <w:color w:val="0000FF"/>
    </w:rPr>
  </w:style>
  <w:style w:type="paragraph" w:styleId="HtmlNormal">
    <w:name w:val="HtmlNormal"/>
    <w:basedOn w:val="Normal"/>
    <w:next w:val="HtmlNormal"/>
    <w:link w:val="Normal"/>
    <w:pPr>
      <w:rPr>
        <w:szCs w:val="24"/>
        <w:sz w:val="24"/>
        <w:kern w:val="0"/>
        <w:lang w:val="en-US" w:eastAsia="zh-CN" w:bidi="ar-SA"/>
        <w:rFonts w:ascii="宋体" w:eastAsia="宋体" w:hAnsi="宋体"/>
      </w:rPr>
      <w:widowControl/>
      <w:spacing w:beforeAutospacing="true" w:line="240" w:afterAutospacing="true" w:after="100" w:before="100" w:lineRule="auto"/>
      <w:jc w:val="left"/>
    </w:pPr>
    <w:rPr>
      <w:szCs w:val="24"/>
      <w:sz w:val="24"/>
      <w:kern w:val="0"/>
      <w:lang w:val="en-US" w:eastAsia="zh-CN" w:bidi="ar-SA"/>
      <w:rFonts w:ascii="宋体" w:eastAsia="宋体" w:hAnsi="宋体"/>
    </w:rPr>
  </w:style>
  <w:style w:type="paragraph" w:styleId="HtmlPre">
    <w:name w:val="HtmlPre"/>
    <w:basedOn w:val="Normal"/>
    <w:next w:val="HtmlPre"/>
    <w:link w:val="Normal"/>
    <w:pPr>
      <w:rPr>
        <w:szCs w:val="24"/>
        <w:sz w:val="24"/>
        <w:kern w:val="0"/>
        <w:lang w:val="en-US" w:eastAsia="zh-CN"/>
        <w:rFonts w:ascii="PingFang SC" w:eastAsia="PingFang SC" w:hAnsi="PingFang SC"/>
      </w:rPr>
      <w:tabs>
        <w:tab w:leader="none" w:val="left" w:pos="916"/>
        <w:tab w:leader="none" w:val="left" w:pos="1832"/>
        <w:tab w:leader="none" w:val="left" w:pos="2748"/>
        <w:tab w:leader="none" w:val="left" w:pos="3664"/>
        <w:tab w:leader="none" w:val="left" w:pos="4580"/>
        <w:tab w:leader="none" w:val="left" w:pos="5496"/>
        <w:tab w:leader="none" w:val="left" w:pos="6412"/>
        <w:tab w:leader="none" w:val="left" w:pos="7328"/>
        <w:tab w:leader="none" w:val="left" w:pos="8244"/>
        <w:tab w:leader="none" w:val="left" w:pos="9160"/>
        <w:tab w:leader="none" w:val="left" w:pos="10076"/>
        <w:tab w:leader="none" w:val="left" w:pos="10992"/>
        <w:tab w:leader="none" w:val="left" w:pos="11908"/>
        <w:tab w:leader="none" w:val="left" w:pos="12824"/>
        <w:tab w:leader="none" w:val="left" w:pos="13740"/>
        <w:tab w:leader="none" w:val="left" w:pos="14656"/>
      </w:tabs>
      <w:ind w:left="0" w:right="0"/>
      <w:spacing w:line="240" w:after="0" w:before="0" w:lineRule="auto"/>
      <w:jc w:val="left"/>
      <w:pBdr>
        <w:top w:space="0" w:color="000000" w:val="none" w:sz="0"/>
        <w:left w:space="0" w:color="000000" w:val="none" w:sz="0"/>
        <w:bottom w:space="0" w:color="000000" w:val="none" w:sz="0"/>
        <w:right w:space="0" w:color="000000" w:val="none" w:sz="0"/>
      </w:pBdr>
    </w:pPr>
    <w:rPr>
      <w:szCs w:val="24"/>
      <w:sz w:val="24"/>
      <w:kern w:val="0"/>
      <w:lang w:val="en-US" w:eastAsia="zh-CN"/>
      <w:rFonts w:ascii="PingFang SC" w:eastAsia="PingFang SC" w:hAnsi="PingFang SC"/>
    </w:rPr>
  </w:style>
  <w:style w:type="paragraph" w:styleId="UserStyle_0">
    <w:name w:val="UserStyle_0"/>
    <w:basedOn w:val="Normal"/>
    <w:next w:val="UserStyle_0"/>
    <w:link w:val="Normal"/>
    <w:pPr>
      <w:rPr>
        <w:szCs w:val="21"/>
        <w:sz w:val="21"/>
        <w:kern w:val="0"/>
        <w:lang w:val="en-US" w:eastAsia="zh-CN" w:bidi="ar-SA"/>
        <w:rFonts w:ascii="Calibri" w:hAnsi="Calibri"/>
      </w:rPr>
      <w:widowControl/>
      <w:spacing w:line="240" w:lineRule="auto"/>
      <w:jc w:val="both"/>
    </w:pPr>
    <w:rPr>
      <w:szCs w:val="21"/>
      <w:sz w:val="21"/>
      <w:kern w:val="0"/>
      <w:lang w:val="en-US" w:eastAsia="zh-CN" w:bidi="ar-SA"/>
      <w:rFonts w:ascii="Calibri" w:hAnsi="Calibri"/>
    </w:rPr>
  </w:style>
  <w:style w:type="table" w:styleId="TableGrid">
    <w:name w:val="TableGrid"/>
    <w:basedOn w:val="TableNormal"/>
    <w:next w:val="TableGrid"/>
    <w:link w:val="Normal"/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autoSpaceDE/>
        <w:autoSpaceDN/>
        <w:bidi w:val="off"/>
        <w:kinsoku/>
        <w:kinsoku/>
        <w:overflowPunct/>
        <w:wordWrap/>
        <w:framePr w:outlineLvl="9"/>
        <w:ind w:leftChars="0" w:rightChars="0" w:left="0" w:right="0"/>
        <w:spacing w:line="680" w:lineRule="exact"/>
        <w:jc w:val="center"/>
      </w:pP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t xml:space="preserve">中建三局西北公司</w:t>
      </w: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t xml:space="preserve">2020届高校毕业生</w:t>
      </w: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autoSpaceDE/>
        <w:autoSpaceDN/>
        <w:bidi w:val="off"/>
        <w:kinsoku/>
        <w:kinsoku/>
        <w:overflowPunct/>
        <w:wordWrap/>
        <w:framePr w:outlineLvl="9"/>
        <w:ind w:leftChars="0" w:rightChars="0" w:left="0" w:right="0"/>
        <w:spacing w:line="680" w:lineRule="exact"/>
        <w:jc w:val="center"/>
      </w:pP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t xml:space="preserve">招聘简章</w:t>
      </w: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仿宋_GB2312" w:eastAsia="仿宋_GB2312"/>
        </w:rPr>
        <w:bidi w:val="off"/>
        <w:kinsoku/>
        <w:kinsoku/>
        <w:overflowPunct/>
        <w:wordWrap/>
        <w:snapToGrid w:val="0"/>
        <w:framePr w:outlineLvl="9"/>
        <w:ind w:leftChars="0" w:rightChars="0" w:firstLine="883" w:left="0" w:firstLineChars="200" w:right="0"/>
        <w:spacing w:line="578" w:lineRule="exact"/>
        <w:jc w:val="both"/>
      </w:pP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仿宋_GB2312" w:eastAsia="仿宋_GB2312"/>
        </w:rPr>
      </w:r>
    </w:p>
    <w:p>
      <w:pPr>
        <w:pStyle w:val="Normal"/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bidi w:val="off"/>
        <w:kinsoku/>
        <w:kinsoku/>
        <w:overflowPunct/>
        <w:wordWrap/>
        <w:snapToGrid w:val="0"/>
        <w:framePr w:outlineLvl="9"/>
        <w:ind w:leftChars="0" w:rightChars="0" w:firstLine="643" w:left="0" w:firstLineChars="200" w:right="0"/>
        <w:spacing w:line="578" w:lineRule="exact"/>
        <w:jc w:val="both"/>
      </w:pP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 </w:t>
      </w: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一、公司简介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中建三局西北公司（以下简称“公司”）是中建三局集团有限公司直属区域公司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。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中建三局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是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世界500强第21位中国建筑旗下排头兵，达到世界500强第345位标准，中国500强第40位标准，ENR全球承包商250强第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9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位、ENR国际承包商250强第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56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位标准，蝉联中国建筑业竞争力两百强企业榜首。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中建三局西北公司位居中建三局区域公司排头兵，主要经营投融资、高端房建、基础设施等业务，下设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第一经理部、第二经理部、新疆经理部、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第三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经理部、兰州经理部、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基础设施事业部、西宁经理部及投资事业部，覆盖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陕西、甘肃、宁夏、青海、新疆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内蒙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、山西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等地区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。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2018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年合同额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约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270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亿元，营业收入超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120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亿元。</w:t>
      </w:r>
    </w:p>
    <w:p>
      <w:pPr>
        <w:pStyle w:val="Normal"/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bidi w:val="off"/>
        <w:kinsoku/>
        <w:kinsoku/>
        <w:overflowPunct/>
        <w:wordWrap/>
        <w:snapToGrid w:val="0"/>
        <w:framePr w:outlineLvl="9"/>
        <w:ind w:leftChars="0" w:rightChars="0" w:firstLine="643" w:left="0" w:firstLineChars="200" w:right="0"/>
        <w:spacing w:line="578" w:lineRule="exact"/>
        <w:jc w:val="both"/>
      </w:pP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二、企业画像</w:t>
      </w:r>
    </w:p>
    <w:p>
      <w:pPr>
        <w:pStyle w:val="Normal"/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3" w:firstLineChars="200"/>
        <w:spacing w:line="578" w:lineRule="exact"/>
        <w:jc w:val="both"/>
      </w:pP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1.</w:t>
      </w: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丝路劲旅 </w:t>
      </w: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舍我其谁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0" w:firstLineChars="20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十年来，公司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2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评全国工人先锋号，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6捧鲁班小金人，9获国家优质工程奖，120余次取得国家级专利、编制省部级工法；拥有一级建造师、注册造价师250余人，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注册安全工程师42人。综合实力，蝉联中建系统西北五省规模第一，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位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居工程局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区域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公司首位。</w:t>
      </w:r>
    </w:p>
    <w:p>
      <w:pPr>
        <w:pStyle w:val="Normal"/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3" w:firstLineChars="200"/>
        <w:spacing w:line="578" w:lineRule="exact"/>
        <w:jc w:val="both"/>
      </w:pP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2.</w:t>
      </w: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转型升级 </w:t>
      </w: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敢为人先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0" w:firstLineChars="20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局内区域公司中率先成立基础设施事业部、投资事业部，拥有基础设施、投融资业务双授权。海外业务方面，我们勇于担当，敢于尝试，正大力拓展柬埔寨等周边市场。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在建的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西安市幸福林带建设工程PPP项目为全球最大地下空间综合体。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 </w:t>
      </w:r>
    </w:p>
    <w:p>
      <w:pPr>
        <w:pStyle w:val="Normal"/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autoSpaceDE/>
        <w:autoSpaceDN/>
        <w:bidi w:val="off"/>
        <w:kinsoku/>
        <w:kinsoku/>
        <w:overflowPunct/>
        <w:wordWrap/>
        <w:ind w:firstLine="643" w:firstLineChars="200"/>
        <w:spacing w:line="578" w:lineRule="exact"/>
        <w:jc w:val="both"/>
      </w:pP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3.</w:t>
      </w: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西北美食</w:t>
      </w: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 嘹</w:t>
      </w: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咋咧</w:t>
      </w:r>
    </w:p>
    <w:p>
      <w:pPr>
        <w:pStyle w:val="Normal"/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autoSpaceDE/>
        <w:autoSpaceDN/>
        <w:bidi w:val="off"/>
        <w:kinsoku/>
        <w:kinsoku/>
        <w:overflowPunct/>
        <w:wordWrap/>
        <w:ind w:firstLine="640" w:firstLineChars="20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陕西美食，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嘹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咋咧！牛羊肉泡馍、肉夹馍、凉皮、灌汤包；甘肃美食，相当嬲！兰州拉面、灰豆子、热冬果、手抓羊肉；新疆美食，雅克西！大盘鸡、羊肉串、烤全羊；亲们，你还能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HOLD住吗？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snapToGrid w:val="0"/>
        <w:framePr w:outlineLvl="9"/>
        <w:ind w:leftChars="0" w:rightChars="0" w:firstLine="643" w:left="0" w:firstLineChars="200" w:right="0"/>
        <w:spacing w:line="578" w:lineRule="exact"/>
        <w:jc w:val="both"/>
      </w:pP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三、人才培养概况</w:t>
      </w:r>
    </w:p>
    <w:p>
      <w:pPr>
        <w:pStyle w:val="HtmlPre"/>
        <w:rPr>
          <w:rStyle w:val="NormalCharacter"/>
          <w:szCs w:val="32"/>
          <w:sz w:val="32"/>
          <w:kern w:val="0"/>
          <w:lang w:val="en-US" w:eastAsia="zh-CN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tabs>
          <w:tab w:leader="none" w:val="left" w:pos="916"/>
          <w:tab w:leader="none" w:val="left" w:pos="1832"/>
          <w:tab w:leader="none" w:val="left" w:pos="2748"/>
          <w:tab w:leader="none" w:val="left" w:pos="3664"/>
          <w:tab w:leader="none" w:val="left" w:pos="4580"/>
          <w:tab w:leader="none" w:val="left" w:pos="5496"/>
          <w:tab w:leader="none" w:val="left" w:pos="6412"/>
          <w:tab w:leader="none" w:val="left" w:pos="7328"/>
          <w:tab w:leader="none" w:val="left" w:pos="8244"/>
          <w:tab w:leader="none" w:val="left" w:pos="9160"/>
          <w:tab w:leader="none" w:val="left" w:pos="10076"/>
          <w:tab w:leader="none" w:val="left" w:pos="10992"/>
          <w:tab w:leader="none" w:val="left" w:pos="11908"/>
          <w:tab w:leader="none" w:val="left" w:pos="12824"/>
          <w:tab w:leader="none" w:val="left" w:pos="13740"/>
          <w:tab w:leader="none" w:val="left" w:pos="14656"/>
        </w:tabs>
        <w:framePr w:outlineLvl="9"/>
        <w:ind w:leftChars="0" w:rightChars="0" w:firstLine="640" w:left="0" w:firstLineChars="200" w:right="0"/>
        <w:spacing w:line="560" w:after="0" w:before="0" w:lineRule="exact"/>
        <w:jc w:val="both"/>
        <w:pBdr>
          <w:top w:space="0" w:color="000000" w:val="none" w:sz="0"/>
          <w:left w:space="0" w:color="000000" w:val="none" w:sz="0"/>
          <w:bottom w:space="0" w:color="000000" w:val="none" w:sz="0"/>
          <w:right w:space="0" w:color="000000" w:val="none" w:sz="0"/>
        </w:pBdr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公司员工平均年龄31岁，干事创业劲头充足，企业内部构建有</w:t>
      </w:r>
      <w:r>
        <w:rPr>
          <w:rStyle w:val="NormalCharacter"/>
          <w:szCs w:val="32"/>
          <w:sz w:val="32"/>
          <w:kern w:val="0"/>
          <w:lang w:val="en-US" w:eastAsia="zh-CN"/>
          <w:rFonts w:ascii="仿宋_GB2312" w:eastAsia="仿宋_GB2312" w:hAnsi="仿宋_GB2312"/>
          <w:color w:val="000000"/>
        </w:rPr>
        <w:t xml:space="preserve">“5+3”</w:t>
      </w:r>
      <w:r>
        <w:rPr>
          <w:rStyle w:val="NormalCharacter"/>
          <w:szCs w:val="32"/>
          <w:sz w:val="32"/>
          <w:kern w:val="0"/>
          <w:lang w:val="en-US" w:eastAsia="zh-CN"/>
          <w:rFonts w:ascii="仿宋_GB2312" w:eastAsia="仿宋_GB2312" w:hAnsi="仿宋_GB2312"/>
          <w:color w:val="000000"/>
        </w:rPr>
        <w:t xml:space="preserve">人才培养体系（</w:t>
      </w:r>
      <w:r>
        <w:rPr>
          <w:rStyle w:val="NormalCharacter"/>
          <w:szCs w:val="32"/>
          <w:sz w:val="32"/>
          <w:kern w:val="0"/>
          <w:lang w:val="en-US" w:eastAsia="zh-CN"/>
          <w:rFonts w:ascii="仿宋_GB2312" w:eastAsia="仿宋_GB2312" w:hAnsi="仿宋_GB2312"/>
          <w:color w:val="000000"/>
        </w:rPr>
        <w:t xml:space="preserve">即</w:t>
      </w:r>
      <w:r>
        <w:rPr>
          <w:rStyle w:val="NormalCharacter"/>
          <w:szCs w:val="32"/>
          <w:sz w:val="32"/>
          <w:kern w:val="0"/>
          <w:lang w:val="en-US" w:eastAsia="zh-CN"/>
          <w:rFonts w:ascii="仿宋_GB2312" w:eastAsia="仿宋_GB2312" w:hAnsi="仿宋_GB2312"/>
          <w:color w:val="000000"/>
        </w:rPr>
        <w:t xml:space="preserve">“</w:t>
      </w:r>
      <w:r>
        <w:rPr>
          <w:rStyle w:val="NormalCharacter"/>
          <w:szCs w:val="32"/>
          <w:sz w:val="32"/>
          <w:kern w:val="0"/>
          <w:lang w:val="en-US" w:eastAsia="zh-CN"/>
          <w:rFonts w:ascii="仿宋_GB2312" w:eastAsia="仿宋_GB2312" w:hAnsi="仿宋_GB2312"/>
          <w:color w:val="000000"/>
        </w:rPr>
        <w:t xml:space="preserve">五个能力提升工程</w:t>
      </w:r>
      <w:r>
        <w:rPr>
          <w:rStyle w:val="NormalCharacter"/>
          <w:szCs w:val="32"/>
          <w:sz w:val="32"/>
          <w:kern w:val="0"/>
          <w:lang w:val="en-US" w:eastAsia="zh-CN"/>
          <w:rFonts w:ascii="仿宋_GB2312" w:eastAsia="仿宋_GB2312" w:hAnsi="仿宋_GB2312"/>
          <w:color w:val="000000"/>
        </w:rPr>
        <w:t xml:space="preserve">”、“</w:t>
      </w:r>
      <w:r>
        <w:rPr>
          <w:rStyle w:val="NormalCharacter"/>
          <w:szCs w:val="32"/>
          <w:sz w:val="32"/>
          <w:kern w:val="0"/>
          <w:lang w:val="en-US" w:eastAsia="zh-CN"/>
          <w:rFonts w:ascii="仿宋_GB2312" w:eastAsia="仿宋_GB2312" w:hAnsi="仿宋_GB2312"/>
          <w:color w:val="000000"/>
        </w:rPr>
        <w:t xml:space="preserve">星青年</w:t>
      </w:r>
      <w:r>
        <w:rPr>
          <w:rStyle w:val="NormalCharacter"/>
          <w:szCs w:val="32"/>
          <w:sz w:val="32"/>
          <w:kern w:val="0"/>
          <w:lang w:val="en-US" w:eastAsia="zh-CN"/>
          <w:rFonts w:ascii="仿宋_GB2312" w:eastAsia="仿宋_GB2312" w:hAnsi="仿宋_GB2312"/>
          <w:color w:val="000000"/>
        </w:rPr>
        <w:t xml:space="preserve">”</w:t>
      </w:r>
      <w:r>
        <w:rPr>
          <w:rStyle w:val="NormalCharacter"/>
          <w:szCs w:val="32"/>
          <w:sz w:val="32"/>
          <w:kern w:val="0"/>
          <w:lang w:val="en-US" w:eastAsia="zh-CN"/>
          <w:rFonts w:ascii="仿宋_GB2312" w:eastAsia="仿宋_GB2312" w:hAnsi="仿宋_GB2312"/>
          <w:color w:val="000000"/>
        </w:rPr>
        <w:t xml:space="preserve">计划、基础能力提升培训、取证能力培训</w:t>
      </w:r>
      <w:r>
        <w:rPr>
          <w:rStyle w:val="NormalCharacter"/>
          <w:szCs w:val="32"/>
          <w:sz w:val="32"/>
          <w:kern w:val="0"/>
          <w:lang w:val="en-US" w:eastAsia="zh-CN"/>
          <w:rFonts w:ascii="仿宋_GB2312" w:eastAsia="仿宋_GB2312" w:hAnsi="仿宋_GB2312"/>
          <w:color w:val="000000"/>
        </w:rPr>
        <w:t xml:space="preserve">），从新员工入职到青年骨干，再到业务领头人，最后到行业领军人，覆盖员工全岗位周期。</w:t>
      </w:r>
    </w:p>
    <w:p>
      <w:pPr>
        <w:pStyle w:val="HtmlPre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tabs>
          <w:tab w:leader="none" w:val="left" w:pos="916"/>
          <w:tab w:leader="none" w:val="left" w:pos="1832"/>
          <w:tab w:leader="none" w:val="left" w:pos="2748"/>
          <w:tab w:leader="none" w:val="left" w:pos="3664"/>
          <w:tab w:leader="none" w:val="left" w:pos="4580"/>
          <w:tab w:leader="none" w:val="left" w:pos="5496"/>
          <w:tab w:leader="none" w:val="left" w:pos="6412"/>
          <w:tab w:leader="none" w:val="left" w:pos="7328"/>
          <w:tab w:leader="none" w:val="left" w:pos="8244"/>
          <w:tab w:leader="none" w:val="left" w:pos="9160"/>
          <w:tab w:leader="none" w:val="left" w:pos="10076"/>
          <w:tab w:leader="none" w:val="left" w:pos="10992"/>
          <w:tab w:leader="none" w:val="left" w:pos="11908"/>
          <w:tab w:leader="none" w:val="left" w:pos="12824"/>
          <w:tab w:leader="none" w:val="left" w:pos="13740"/>
          <w:tab w:leader="none" w:val="left" w:pos="14656"/>
        </w:tabs>
        <w:framePr w:outlineLvl="9"/>
        <w:ind w:leftChars="0" w:rightChars="0" w:firstLine="640" w:left="0" w:firstLineChars="200" w:right="0"/>
        <w:spacing w:line="560" w:after="0" w:before="0" w:lineRule="exact"/>
        <w:jc w:val="both"/>
        <w:pBdr>
          <w:top w:space="0" w:color="000000" w:val="none" w:sz="0"/>
          <w:left w:space="0" w:color="000000" w:val="none" w:sz="0"/>
          <w:bottom w:space="0" w:color="000000" w:val="none" w:sz="0"/>
          <w:right w:space="0" w:color="000000" w:val="none" w:sz="0"/>
        </w:pBdr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青年员工培养方面，公司积累有大量成熟的工具、机制，如：岗前培训、“双导师”带徒、“星青年”锤炼营、领导力培训班等，通过压担子、架梯子加速推进员工成长、成才。同时，公司大胆任用青年骨干，常态化组织开展公开竞聘，建立后备人才梯队，入职员工在3-5年基本走上项目、分公司中层，5年以内有车有房。</w:t>
      </w:r>
    </w:p>
    <w:p>
      <w:pPr>
        <w:pStyle w:val="Normal"/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bidi w:val="off"/>
        <w:kinsoku/>
        <w:kinsoku/>
        <w:overflowPunct/>
        <w:wordWrap/>
        <w:snapToGrid w:val="0"/>
        <w:framePr w:outlineLvl="9"/>
        <w:ind w:leftChars="0" w:rightChars="0" w:firstLine="643" w:left="0" w:firstLineChars="200" w:right="0"/>
        <w:spacing w:line="578" w:lineRule="exact"/>
        <w:jc w:val="both"/>
      </w:pP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四、薪酬福利体系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1.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基本工资：岗位工资+能级津贴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2.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奖金：年终奖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产值奖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科技创效奖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商务创效奖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项目兑现奖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总经理特别奖及其他各类奖金。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3.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福利：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六险二金（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五险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一金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补充医疗保险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企业年金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）、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过节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费、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生日慰问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带薪休假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、免费体检及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其他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各类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福利等。</w:t>
      </w:r>
    </w:p>
    <w:p>
      <w:pPr>
        <w:pStyle w:val="Normal"/>
        <w:rPr>
          <w:rStyle w:val="NormalCharacter"/>
          <w:b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4.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津贴：远征津贴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年功津贴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执业津贴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住房津贴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交通补贴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伙食补贴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、取暖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津贴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防暑津贴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及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其他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各类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津贴等。</w:t>
      </w:r>
    </w:p>
    <w:p>
      <w:pPr>
        <w:pStyle w:val="Normal"/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bidi w:val="off"/>
        <w:kinsoku/>
        <w:kinsoku/>
        <w:overflowPunct/>
        <w:wordWrap/>
        <w:snapToGrid w:val="0"/>
        <w:framePr w:outlineLvl="9"/>
        <w:ind w:leftChars="0" w:rightChars="0" w:firstLine="643" w:left="0" w:firstLineChars="200" w:right="0"/>
        <w:spacing w:line="578" w:lineRule="exact"/>
        <w:jc w:val="both"/>
      </w:pP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五、招聘专业</w:t>
      </w:r>
    </w:p>
    <w:p>
      <w:pPr>
        <w:pStyle w:val="Normal"/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bidi w:val="off"/>
        <w:kinsoku/>
        <w:kinsoku/>
        <w:overflowPunct/>
        <w:wordWrap/>
        <w:snapToGrid w:val="0"/>
        <w:framePr w:outlineLvl="9"/>
        <w:ind w:leftChars="0" w:rightChars="0" w:firstLine="643" w:left="0" w:firstLineChars="200" w:right="0"/>
        <w:spacing w:line="578" w:lineRule="exact"/>
        <w:jc w:val="both"/>
      </w:pP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1.</w:t>
      </w: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工程类：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路桥工程、水利工程、城市地下空间、水务工程、土木工程、工程管理/工程造价、测绘工程、安全工程、机械设备管理、材料科学与工程、工程力学等；</w:t>
      </w:r>
    </w:p>
    <w:p>
      <w:pPr>
        <w:pStyle w:val="Normal"/>
        <w:rPr>
          <w:rStyle w:val="NormalCharacter"/>
          <w:b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snapToGrid w:val="0"/>
        <w:framePr w:outlineLvl="9"/>
        <w:ind w:rightChars="0" w:firstLine="643" w:firstLineChars="200" w:right="0"/>
        <w:spacing w:line="578" w:lineRule="exact"/>
        <w:jc w:val="both"/>
      </w:pP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2.职能类：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仿宋_GB2312" w:eastAsia="仿宋_GB2312" w:hAnsi="仿宋_GB2312"/>
        </w:rPr>
        <w:t xml:space="preserve">人力资源管理、财务管理、会计学、金融学/投资学、汉语言文学、新闻学、法学、审计学、马克思主义理论相关专业等。</w:t>
      </w:r>
    </w:p>
    <w:p>
      <w:pPr>
        <w:pStyle w:val="Normal"/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bidi w:val="off"/>
        <w:kinsoku/>
        <w:kinsoku/>
        <w:overflowPunct/>
        <w:wordWrap/>
        <w:snapToGrid w:val="0"/>
        <w:framePr w:outlineLvl="9"/>
        <w:ind w:leftChars="0" w:rightChars="0" w:firstLine="643" w:left="0" w:firstLineChars="200" w:right="0"/>
        <w:spacing w:line="578" w:lineRule="exact"/>
        <w:jc w:val="both"/>
      </w:pP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六、招聘要求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1.学历：应届统招全日制大学本科及以上学历。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2.院校：国家重点院校、传统建筑强校、全球知名院校。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3.学生素质要求：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（1）身体健康，谈吐文明，形象气质佳；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（2）在校期间学习成绩良好且所学专业排名前40%，专业课程无补考；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（3）本科生英语四级以上、研究生英语六级以上水平，英语专业毕业生须通过国家英语专业八级考试；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（4）有较强的语言表达能力和人际关系处理能力，较好的学习能力和实践能力；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（5）有较高的诚信度和责任感，较好的团队合作精神；自律性强、能吃苦耐劳，乐观、积极向上，无心理障碍。党员与学生干部优先。</w:t>
      </w:r>
    </w:p>
    <w:p>
      <w:pPr>
        <w:pStyle w:val="Normal"/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bidi w:val="off"/>
        <w:kinsoku/>
        <w:kinsoku/>
        <w:overflowPunct/>
        <w:wordWrap/>
        <w:snapToGrid w:val="0"/>
        <w:framePr w:outlineLvl="9"/>
        <w:ind w:leftChars="0" w:rightChars="0" w:firstLine="643" w:left="0" w:firstLineChars="200" w:right="0"/>
        <w:spacing w:line="578" w:lineRule="exact"/>
        <w:jc w:val="both"/>
      </w:pP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七、招聘程序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autoSpaceDE/>
        <w:autoSpaceDN/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1.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学生登陆中国建筑高校毕业生接收考试网（网址：http://cscec.pincn.com/#/prove）注册,完成第一部分测评。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autoSpaceDE/>
        <w:autoSpaceDN/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2.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学生登陆中建三局集团有限公司校园招聘网，投递简历至西北公司。（网址：http://zhaopin.cscec3b.com.cn）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autoSpaceDE/>
        <w:autoSpaceDN/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3.学生登陆中国建筑高校毕业生接收考试网完成第二部分测评。（2019.08.28至2019.11.07共12期，必须参加）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autoSpaceDE/>
        <w:autoSpaceDN/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测评时间：</w:t>
      </w:r>
    </w:p>
    <w:tbl>
      <w:tblPr>
        <w:tblW w:type="dxa" w:w="8626"/>
        <w:jc w:val="center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812"/>
        <w:gridCol w:w="2794"/>
        <w:gridCol w:w="4020"/>
      </w:tblGrid>
      <w:tr>
        <w:tc>
          <w:tcPr>
            <w:textDirection w:val="lrTb"/>
            <w:vAlign w:val="top"/>
            <w:tcW w:type="dxa" w:w="18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32"/>
                <w:sz w:val="32"/>
                <w:kern w:val="2"/>
                <w:lang w:val="en-US" w:eastAsia="zh-CN" w:bidi="ar-SA"/>
                <w:rFonts w:ascii="仿宋_GB2312" w:cs="Times New Roman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b/>
                <w:bCs/>
                <w:szCs w:val="32"/>
                <w:sz w:val="32"/>
                <w:kern w:val="2"/>
                <w:lang w:val="en-US" w:eastAsia="zh-CN" w:bidi="ar-SA"/>
                <w:rFonts w:ascii="仿宋_GB2312" w:cs="Times New Roman" w:eastAsia="仿宋_GB2312"/>
              </w:rPr>
              <w:t xml:space="preserve">期次</w:t>
            </w:r>
          </w:p>
        </w:tc>
        <w:tc>
          <w:tcPr>
            <w:textDirection w:val="lrTb"/>
            <w:vAlign w:val="top"/>
            <w:tcW w:type="dxa" w:w="27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32"/>
                <w:sz w:val="32"/>
                <w:kern w:val="2"/>
                <w:lang w:val="en-US" w:eastAsia="zh-CN" w:bidi="ar-SA"/>
                <w:rFonts w:ascii="仿宋_GB2312" w:cs="Times New Roman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b/>
                <w:bCs/>
                <w:szCs w:val="32"/>
                <w:sz w:val="32"/>
                <w:kern w:val="2"/>
                <w:lang w:val="en-US" w:eastAsia="zh-CN" w:bidi="ar-SA"/>
                <w:rFonts w:ascii="仿宋_GB2312" w:cs="Times New Roman" w:eastAsia="仿宋_GB2312"/>
              </w:rPr>
              <w:t xml:space="preserve">一测完成时间</w:t>
            </w:r>
          </w:p>
        </w:tc>
        <w:tc>
          <w:tcPr>
            <w:textDirection w:val="lrTb"/>
            <w:vAlign w:val="top"/>
            <w:tcW w:type="dxa" w:w="4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32"/>
                <w:sz w:val="32"/>
                <w:kern w:val="2"/>
                <w:lang w:val="en-US" w:eastAsia="zh-CN" w:bidi="ar-SA"/>
                <w:rFonts w:ascii="仿宋_GB2312" w:cs="Times New Roman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b/>
                <w:bCs/>
                <w:szCs w:val="32"/>
                <w:sz w:val="32"/>
                <w:kern w:val="2"/>
                <w:lang w:val="en-US" w:eastAsia="zh-CN" w:bidi="ar-SA"/>
                <w:rFonts w:ascii="仿宋_GB2312" w:cs="Times New Roman" w:eastAsia="仿宋_GB2312"/>
              </w:rPr>
              <w:t xml:space="preserve">二测集中考试时间</w:t>
            </w:r>
          </w:p>
        </w:tc>
      </w:tr>
      <w:tr>
        <w:tc>
          <w:tcPr>
            <w:textDirection w:val="lrTb"/>
            <w:vAlign w:val="top"/>
            <w:tcW w:type="dxa" w:w="18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第1期</w:t>
            </w:r>
          </w:p>
        </w:tc>
        <w:tc>
          <w:tcPr>
            <w:textDirection w:val="lrTb"/>
            <w:vAlign w:val="top"/>
            <w:tcW w:type="dxa" w:w="27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2019.08.28</w:t>
            </w:r>
          </w:p>
        </w:tc>
        <w:tc>
          <w:tcPr>
            <w:textDirection w:val="lrTb"/>
            <w:vAlign w:val="top"/>
            <w:tcW w:type="dxa" w:w="4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2019.08.30  19:00-20:30</w:t>
            </w:r>
          </w:p>
        </w:tc>
      </w:tr>
      <w:tr>
        <w:tc>
          <w:tcPr>
            <w:textDirection w:val="lrTb"/>
            <w:vAlign w:val="top"/>
            <w:tcW w:type="dxa" w:w="18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第2期</w:t>
            </w:r>
          </w:p>
        </w:tc>
        <w:tc>
          <w:tcPr>
            <w:textDirection w:val="lrTb"/>
            <w:vAlign w:val="top"/>
            <w:tcW w:type="dxa" w:w="27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2019.08.31</w:t>
            </w:r>
          </w:p>
        </w:tc>
        <w:tc>
          <w:tcPr>
            <w:textDirection w:val="lrTb"/>
            <w:vAlign w:val="top"/>
            <w:tcW w:type="dxa" w:w="4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2019.09.02  19:00-20:30</w:t>
            </w:r>
          </w:p>
        </w:tc>
      </w:tr>
      <w:tr>
        <w:tc>
          <w:tcPr>
            <w:textDirection w:val="lrTb"/>
            <w:vAlign w:val="top"/>
            <w:tcW w:type="dxa" w:w="18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第3期</w:t>
            </w:r>
          </w:p>
        </w:tc>
        <w:tc>
          <w:tcPr>
            <w:textDirection w:val="lrTb"/>
            <w:vAlign w:val="top"/>
            <w:tcW w:type="dxa" w:w="27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2019.09.03</w:t>
            </w:r>
          </w:p>
        </w:tc>
        <w:tc>
          <w:tcPr>
            <w:textDirection w:val="lrTb"/>
            <w:vAlign w:val="top"/>
            <w:tcW w:type="dxa" w:w="4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2019.09.05  19:00-20:30</w:t>
            </w:r>
          </w:p>
        </w:tc>
      </w:tr>
      <w:tr>
        <w:tc>
          <w:tcPr>
            <w:textDirection w:val="lrTb"/>
            <w:vAlign w:val="top"/>
            <w:tcW w:type="dxa" w:w="18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第4期</w:t>
            </w:r>
          </w:p>
        </w:tc>
        <w:tc>
          <w:tcPr>
            <w:textDirection w:val="lrTb"/>
            <w:vAlign w:val="top"/>
            <w:tcW w:type="dxa" w:w="27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2019.09.07</w:t>
            </w:r>
          </w:p>
        </w:tc>
        <w:tc>
          <w:tcPr>
            <w:textDirection w:val="lrTb"/>
            <w:vAlign w:val="top"/>
            <w:tcW w:type="dxa" w:w="4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2019.09.09  19:00-20:30</w:t>
            </w:r>
          </w:p>
        </w:tc>
      </w:tr>
      <w:tr>
        <w:tc>
          <w:tcPr>
            <w:textDirection w:val="lrTb"/>
            <w:vAlign w:val="top"/>
            <w:tcW w:type="dxa" w:w="18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第5期</w:t>
            </w:r>
          </w:p>
        </w:tc>
        <w:tc>
          <w:tcPr>
            <w:textDirection w:val="lrTb"/>
            <w:vAlign w:val="top"/>
            <w:tcW w:type="dxa" w:w="27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2019.09.14</w:t>
            </w:r>
          </w:p>
        </w:tc>
        <w:tc>
          <w:tcPr>
            <w:textDirection w:val="lrTb"/>
            <w:vAlign w:val="top"/>
            <w:tcW w:type="dxa" w:w="4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2019.09.16  19:00-20:30</w:t>
            </w:r>
          </w:p>
        </w:tc>
      </w:tr>
      <w:tr>
        <w:tc>
          <w:tcPr>
            <w:textDirection w:val="lrTb"/>
            <w:vAlign w:val="top"/>
            <w:tcW w:type="dxa" w:w="18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第6期</w:t>
            </w:r>
          </w:p>
        </w:tc>
        <w:tc>
          <w:tcPr>
            <w:textDirection w:val="lrTb"/>
            <w:vAlign w:val="top"/>
            <w:tcW w:type="dxa" w:w="27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2019.09.17</w:t>
            </w:r>
          </w:p>
        </w:tc>
        <w:tc>
          <w:tcPr>
            <w:textDirection w:val="lrTb"/>
            <w:vAlign w:val="top"/>
            <w:tcW w:type="dxa" w:w="4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2019.09.19  19:00-20:30</w:t>
            </w:r>
          </w:p>
        </w:tc>
      </w:tr>
      <w:tr>
        <w:tc>
          <w:tcPr>
            <w:textDirection w:val="lrTb"/>
            <w:vAlign w:val="top"/>
            <w:tcW w:type="dxa" w:w="18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第7期</w:t>
            </w:r>
          </w:p>
        </w:tc>
        <w:tc>
          <w:tcPr>
            <w:textDirection w:val="lrTb"/>
            <w:vAlign w:val="top"/>
            <w:tcW w:type="dxa" w:w="27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2019.10.06</w:t>
            </w:r>
          </w:p>
        </w:tc>
        <w:tc>
          <w:tcPr>
            <w:textDirection w:val="lrTb"/>
            <w:vAlign w:val="top"/>
            <w:tcW w:type="dxa" w:w="4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2019.10.08  19:00-20:30</w:t>
            </w:r>
          </w:p>
        </w:tc>
      </w:tr>
      <w:tr>
        <w:tc>
          <w:tcPr>
            <w:textDirection w:val="lrTb"/>
            <w:vAlign w:val="top"/>
            <w:tcW w:type="dxa" w:w="18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第8期</w:t>
            </w:r>
          </w:p>
        </w:tc>
        <w:tc>
          <w:tcPr>
            <w:textDirection w:val="lrTb"/>
            <w:vAlign w:val="top"/>
            <w:tcW w:type="dxa" w:w="27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2019.10.09</w:t>
            </w:r>
          </w:p>
        </w:tc>
        <w:tc>
          <w:tcPr>
            <w:textDirection w:val="lrTb"/>
            <w:vAlign w:val="top"/>
            <w:tcW w:type="dxa" w:w="4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2019.10.11  19:00-20:30</w:t>
            </w:r>
          </w:p>
        </w:tc>
      </w:tr>
      <w:tr>
        <w:tc>
          <w:tcPr>
            <w:textDirection w:val="lrTb"/>
            <w:vAlign w:val="top"/>
            <w:tcW w:type="dxa" w:w="18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第9期</w:t>
            </w:r>
          </w:p>
        </w:tc>
        <w:tc>
          <w:tcPr>
            <w:textDirection w:val="lrTb"/>
            <w:vAlign w:val="top"/>
            <w:tcW w:type="dxa" w:w="27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2019.10.12</w:t>
            </w:r>
          </w:p>
        </w:tc>
        <w:tc>
          <w:tcPr>
            <w:textDirection w:val="lrTb"/>
            <w:vAlign w:val="top"/>
            <w:tcW w:type="dxa" w:w="4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2019.10.14  19:00-20:30</w:t>
            </w:r>
          </w:p>
        </w:tc>
      </w:tr>
      <w:tr>
        <w:tc>
          <w:tcPr>
            <w:textDirection w:val="lrTb"/>
            <w:vAlign w:val="top"/>
            <w:tcW w:type="dxa" w:w="18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第10期</w:t>
            </w:r>
          </w:p>
        </w:tc>
        <w:tc>
          <w:tcPr>
            <w:textDirection w:val="lrTb"/>
            <w:vAlign w:val="top"/>
            <w:tcW w:type="dxa" w:w="27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2019.10.15</w:t>
            </w:r>
          </w:p>
        </w:tc>
        <w:tc>
          <w:tcPr>
            <w:textDirection w:val="lrTb"/>
            <w:vAlign w:val="top"/>
            <w:tcW w:type="dxa" w:w="4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2019.10.27  19:00-20:30</w:t>
            </w:r>
          </w:p>
        </w:tc>
      </w:tr>
      <w:tr>
        <w:tc>
          <w:tcPr>
            <w:textDirection w:val="lrTb"/>
            <w:vAlign w:val="top"/>
            <w:tcW w:type="dxa" w:w="18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第11期</w:t>
            </w:r>
          </w:p>
        </w:tc>
        <w:tc>
          <w:tcPr>
            <w:textDirection w:val="lrTb"/>
            <w:vAlign w:val="top"/>
            <w:tcW w:type="dxa" w:w="27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2019.10.19</w:t>
            </w:r>
          </w:p>
        </w:tc>
        <w:tc>
          <w:tcPr>
            <w:textDirection w:val="lrTb"/>
            <w:vAlign w:val="top"/>
            <w:tcW w:type="dxa" w:w="4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2019.10.21  19:00-20:30</w:t>
            </w:r>
          </w:p>
        </w:tc>
      </w:tr>
      <w:tr>
        <w:tc>
          <w:tcPr>
            <w:textDirection w:val="lrTb"/>
            <w:vAlign w:val="top"/>
            <w:tcW w:type="dxa" w:w="18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第12期</w:t>
            </w:r>
          </w:p>
        </w:tc>
        <w:tc>
          <w:tcPr>
            <w:textDirection w:val="lrTb"/>
            <w:vAlign w:val="top"/>
            <w:tcW w:type="dxa" w:w="27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2019.11.05</w:t>
            </w:r>
          </w:p>
        </w:tc>
        <w:tc>
          <w:tcPr>
            <w:textDirection w:val="lrTb"/>
            <w:vAlign w:val="top"/>
            <w:tcW w:type="dxa" w:w="4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autoSpaceDE/>
              <w:autoSpaceDN/>
              <w:bidi w:val="off"/>
              <w:kinsoku/>
              <w:kinsoku/>
              <w:overflowPunct/>
              <w:wordWrap/>
              <w:framePr w:outlineLvl="9"/>
              <w:ind w:rightChars="0" w:right="0"/>
              <w:spacing w:line="578" w:lineRule="exact"/>
              <w:jc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2019.11.07  19:00-20:30</w:t>
            </w:r>
          </w:p>
        </w:tc>
      </w:tr>
    </w:tbl>
    <w:p>
      <w:pPr>
        <w:pStyle w:val="Normal"/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autoSpaceDE/>
        <w:autoSpaceDN/>
        <w:bidi w:val="off"/>
        <w:kinsoku/>
        <w:kinsoku/>
        <w:overflowPunct/>
        <w:wordWrap/>
        <w:snapToGrid w:val="0"/>
        <w:framePr w:outlineLvl="9"/>
        <w:ind w:rightChars="0" w:firstLine="643" w:firstLineChars="200" w:right="0"/>
        <w:spacing w:line="578" w:lineRule="exact"/>
        <w:jc w:val="both"/>
      </w:pP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八、联系方式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公司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地址：陕西西安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雁塔区锦业路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1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号都市之门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D座1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6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层；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咨询电话：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  <w:color w:val="000000"/>
        </w:rPr>
        <w:t xml:space="preserve">029-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  <w:color w:val="000000"/>
        </w:rPr>
        <w:t xml:space="preserve">81879665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-8022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78" w:lineRule="exact"/>
        <w:jc w:val="both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                               2019年9月2日</w:t>
      </w:r>
    </w:p>
    <w:sectPr>
      <w:vAlign w:val="top"/>
      <w:type w:val="nextPage"/>
      <w:pgSz w:h="16838" w:w="11906" w:orient="portrait"/>
      <w:pgMar w:gutter="0" w:header="851" w:top="2098" w:bottom="1984" w:footer="992" w:left="1587" w:right="1474"/>
      <w:lnNumType w:countBy="0"/>
      <w:paperSrc w:first="0" w:other="0"/>
      <w:cols w:space="720" w:num="1"/>
      <w:docGrid w:charSpace="0" w:linePitch="312" w:type="lines"/>
    </w:sectPr>
  </w:body>
</w:document>
</file>